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82C4" w14:textId="77777777" w:rsidR="00F23732" w:rsidRPr="00F23732" w:rsidRDefault="00F23732" w:rsidP="00F23732">
      <w:pPr>
        <w:rPr>
          <w:rStyle w:val="Hyperlink"/>
        </w:rPr>
      </w:pPr>
      <w:r w:rsidRPr="00F23732">
        <w:fldChar w:fldCharType="begin"/>
      </w:r>
      <w:r w:rsidRPr="00F23732">
        <w:instrText>HYPERLINK "https://www.jusline.at/gesetz/ooe_asg/paragraf/11" \o "Weiter zum § 11 Oö. ASG"</w:instrText>
      </w:r>
      <w:r w:rsidRPr="00F23732">
        <w:fldChar w:fldCharType="separate"/>
      </w:r>
    </w:p>
    <w:p w14:paraId="4AF164CE" w14:textId="77777777" w:rsidR="00F23732" w:rsidRPr="00F23732" w:rsidRDefault="00F23732" w:rsidP="00F23732">
      <w:pPr>
        <w:rPr>
          <w:rStyle w:val="Hyperlink"/>
          <w:b/>
          <w:bCs/>
        </w:rPr>
      </w:pPr>
      <w:r w:rsidRPr="00F23732">
        <w:rPr>
          <w:rStyle w:val="Hyperlink"/>
          <w:b/>
          <w:bCs/>
        </w:rPr>
        <w:t xml:space="preserve">§ 11 </w:t>
      </w:r>
      <w:proofErr w:type="spellStart"/>
      <w:r w:rsidRPr="00F23732">
        <w:rPr>
          <w:rStyle w:val="Hyperlink"/>
          <w:b/>
          <w:bCs/>
        </w:rPr>
        <w:t>Oö</w:t>
      </w:r>
      <w:proofErr w:type="spellEnd"/>
      <w:r w:rsidRPr="00F23732">
        <w:rPr>
          <w:rStyle w:val="Hyperlink"/>
          <w:b/>
          <w:bCs/>
        </w:rPr>
        <w:t xml:space="preserve">. ASG </w:t>
      </w:r>
    </w:p>
    <w:p w14:paraId="29B5173E" w14:textId="77777777" w:rsidR="00F23732" w:rsidRPr="00F23732" w:rsidRDefault="00F23732" w:rsidP="00F23732">
      <w:r w:rsidRPr="00F23732">
        <w:fldChar w:fldCharType="end"/>
      </w:r>
    </w:p>
    <w:p w14:paraId="23496849" w14:textId="77777777" w:rsidR="00F23732" w:rsidRPr="00F23732" w:rsidRDefault="00F23732" w:rsidP="00F23732">
      <w:r w:rsidRPr="00F23732">
        <w:pict w14:anchorId="71CF1744">
          <v:rect id="_x0000_i1031" style="width:0;height:1.5pt" o:hralign="center" o:hrstd="t" o:hr="t" fillcolor="#a0a0a0" stroked="f"/>
        </w:pict>
      </w:r>
    </w:p>
    <w:p w14:paraId="52328C4A" w14:textId="77777777" w:rsidR="00F23732" w:rsidRPr="00F23732" w:rsidRDefault="00F23732" w:rsidP="00F23732">
      <w:hyperlink r:id="rId4" w:history="1">
        <w:r w:rsidRPr="00F23732">
          <w:rPr>
            <w:rStyle w:val="Hyperlink"/>
          </w:rPr>
          <w:t>§ 11</w:t>
        </w:r>
      </w:hyperlink>
    </w:p>
    <w:p w14:paraId="783CCF91" w14:textId="77777777" w:rsidR="00F23732" w:rsidRPr="00F23732" w:rsidRDefault="00F23732" w:rsidP="00F23732">
      <w:r w:rsidRPr="00F23732">
        <w:t>Ausnahmebestimmungen für das Fangen und Halten von Singvögeln</w:t>
      </w:r>
    </w:p>
    <w:p w14:paraId="4FF3E1F7" w14:textId="77777777" w:rsidR="00F23732" w:rsidRPr="00F23732" w:rsidRDefault="00F23732" w:rsidP="00F23732">
      <w:r w:rsidRPr="00F23732">
        <w:t> </w:t>
      </w:r>
    </w:p>
    <w:p w14:paraId="5A3096F9" w14:textId="77777777" w:rsidR="00F23732" w:rsidRPr="00F23732" w:rsidRDefault="00F23732" w:rsidP="00F23732">
      <w:r w:rsidRPr="00F23732">
        <w:t>Der selektive Fang der Vogelarten Stieglitz (</w:t>
      </w:r>
      <w:proofErr w:type="spellStart"/>
      <w:r w:rsidRPr="00F23732">
        <w:t>Carduelis</w:t>
      </w:r>
      <w:proofErr w:type="spellEnd"/>
      <w:r w:rsidRPr="00F23732">
        <w:t xml:space="preserve"> </w:t>
      </w:r>
      <w:proofErr w:type="spellStart"/>
      <w:r w:rsidRPr="00F23732">
        <w:t>carduelis</w:t>
      </w:r>
      <w:proofErr w:type="spellEnd"/>
      <w:r w:rsidRPr="00F23732">
        <w:t>), Zeisig (</w:t>
      </w:r>
      <w:proofErr w:type="spellStart"/>
      <w:r w:rsidRPr="00F23732">
        <w:t>Carduelis</w:t>
      </w:r>
      <w:proofErr w:type="spellEnd"/>
      <w:r w:rsidRPr="00F23732">
        <w:t xml:space="preserve"> </w:t>
      </w:r>
      <w:proofErr w:type="spellStart"/>
      <w:r w:rsidRPr="00F23732">
        <w:t>spinus</w:t>
      </w:r>
      <w:proofErr w:type="spellEnd"/>
      <w:r w:rsidRPr="00F23732">
        <w:t>), Gimpel (</w:t>
      </w:r>
      <w:proofErr w:type="spellStart"/>
      <w:r w:rsidRPr="00F23732">
        <w:t>Pyrrhula</w:t>
      </w:r>
      <w:proofErr w:type="spellEnd"/>
      <w:r w:rsidRPr="00F23732">
        <w:t xml:space="preserve"> </w:t>
      </w:r>
      <w:proofErr w:type="spellStart"/>
      <w:r w:rsidRPr="00F23732">
        <w:t>pyrrhula</w:t>
      </w:r>
      <w:proofErr w:type="spellEnd"/>
      <w:r w:rsidRPr="00F23732">
        <w:t>) und Fichtenkreuzschnabel (</w:t>
      </w:r>
      <w:proofErr w:type="spellStart"/>
      <w:r w:rsidRPr="00F23732">
        <w:t>Loxia</w:t>
      </w:r>
      <w:proofErr w:type="spellEnd"/>
      <w:r w:rsidRPr="00F23732">
        <w:t xml:space="preserve"> </w:t>
      </w:r>
      <w:proofErr w:type="spellStart"/>
      <w:r w:rsidRPr="00F23732">
        <w:t>curvirostra</w:t>
      </w:r>
      <w:proofErr w:type="spellEnd"/>
      <w:r w:rsidRPr="00F23732">
        <w:t xml:space="preserve">) für die traditionellen Singvogelausstellungen darf nur im politischen Bezirk Gmunden, in den Gemeinden Attnang-Puchheim, Aurach am </w:t>
      </w:r>
      <w:proofErr w:type="spellStart"/>
      <w:r w:rsidRPr="00F23732">
        <w:t>Hongar</w:t>
      </w:r>
      <w:proofErr w:type="spellEnd"/>
      <w:r w:rsidRPr="00F23732">
        <w:t xml:space="preserve">, Frankenburg am Hausruck, Innerschwand, Lenzing, Mondsee, </w:t>
      </w:r>
      <w:proofErr w:type="spellStart"/>
      <w:r w:rsidRPr="00F23732">
        <w:t>Ottnang</w:t>
      </w:r>
      <w:proofErr w:type="spellEnd"/>
      <w:r w:rsidRPr="00F23732">
        <w:t xml:space="preserve"> am Hausruck, St. Lorenz, Schwanenstadt, Tiefgraben und Weyregg am Attersee des politischen Bezirkes Vöcklabruck sowie in den Gemeinden Lambach und Stadl-Paura des politischen Bezirkes Wels-Land außerhalb von Vogelschutzgebieten (Art. 4 Abs. 1 vierter Satz der Vogelschutz-Richtlinie) und deren Haltung nur in den Bezirken Gmunden, Vöcklabruck, Wels-Land und nur unter nachstehenden Voraussetzungen bewilligt werden: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
        <w:gridCol w:w="194"/>
        <w:gridCol w:w="1012"/>
        <w:gridCol w:w="998"/>
        <w:gridCol w:w="976"/>
        <w:gridCol w:w="966"/>
        <w:gridCol w:w="955"/>
        <w:gridCol w:w="947"/>
        <w:gridCol w:w="940"/>
        <w:gridCol w:w="933"/>
        <w:gridCol w:w="942"/>
      </w:tblGrid>
      <w:tr w:rsidR="00F23732" w:rsidRPr="00F23732" w14:paraId="652D60BC" w14:textId="77777777">
        <w:trPr>
          <w:tblCellSpacing w:w="15" w:type="dxa"/>
        </w:trPr>
        <w:tc>
          <w:tcPr>
            <w:tcW w:w="0" w:type="auto"/>
            <w:vAlign w:val="center"/>
            <w:hideMark/>
          </w:tcPr>
          <w:p w14:paraId="151CAAEC" w14:textId="77777777" w:rsidR="00F23732" w:rsidRPr="00F23732" w:rsidRDefault="00F23732" w:rsidP="00F23732"/>
        </w:tc>
        <w:tc>
          <w:tcPr>
            <w:tcW w:w="0" w:type="auto"/>
            <w:vAlign w:val="center"/>
            <w:hideMark/>
          </w:tcPr>
          <w:p w14:paraId="07D5D8C2" w14:textId="77777777" w:rsidR="00F23732" w:rsidRPr="00F23732" w:rsidRDefault="00F23732" w:rsidP="00F23732"/>
        </w:tc>
        <w:tc>
          <w:tcPr>
            <w:tcW w:w="0" w:type="auto"/>
            <w:vAlign w:val="center"/>
            <w:hideMark/>
          </w:tcPr>
          <w:p w14:paraId="31E946B8" w14:textId="77777777" w:rsidR="00F23732" w:rsidRPr="00F23732" w:rsidRDefault="00F23732" w:rsidP="00F23732"/>
        </w:tc>
        <w:tc>
          <w:tcPr>
            <w:tcW w:w="0" w:type="auto"/>
            <w:vAlign w:val="center"/>
            <w:hideMark/>
          </w:tcPr>
          <w:p w14:paraId="5D4ADC2E" w14:textId="77777777" w:rsidR="00F23732" w:rsidRPr="00F23732" w:rsidRDefault="00F23732" w:rsidP="00F23732"/>
        </w:tc>
        <w:tc>
          <w:tcPr>
            <w:tcW w:w="0" w:type="auto"/>
            <w:vAlign w:val="center"/>
            <w:hideMark/>
          </w:tcPr>
          <w:p w14:paraId="1BEDBAA9" w14:textId="77777777" w:rsidR="00F23732" w:rsidRPr="00F23732" w:rsidRDefault="00F23732" w:rsidP="00F23732"/>
        </w:tc>
        <w:tc>
          <w:tcPr>
            <w:tcW w:w="0" w:type="auto"/>
            <w:vAlign w:val="center"/>
            <w:hideMark/>
          </w:tcPr>
          <w:p w14:paraId="0A1EB918" w14:textId="77777777" w:rsidR="00F23732" w:rsidRPr="00F23732" w:rsidRDefault="00F23732" w:rsidP="00F23732"/>
        </w:tc>
        <w:tc>
          <w:tcPr>
            <w:tcW w:w="0" w:type="auto"/>
            <w:vAlign w:val="center"/>
            <w:hideMark/>
          </w:tcPr>
          <w:p w14:paraId="57AF7D13" w14:textId="77777777" w:rsidR="00F23732" w:rsidRPr="00F23732" w:rsidRDefault="00F23732" w:rsidP="00F23732"/>
        </w:tc>
        <w:tc>
          <w:tcPr>
            <w:tcW w:w="0" w:type="auto"/>
            <w:vAlign w:val="center"/>
            <w:hideMark/>
          </w:tcPr>
          <w:p w14:paraId="025E13F4" w14:textId="77777777" w:rsidR="00F23732" w:rsidRPr="00F23732" w:rsidRDefault="00F23732" w:rsidP="00F23732"/>
        </w:tc>
        <w:tc>
          <w:tcPr>
            <w:tcW w:w="0" w:type="auto"/>
            <w:vAlign w:val="center"/>
            <w:hideMark/>
          </w:tcPr>
          <w:p w14:paraId="6E302725" w14:textId="77777777" w:rsidR="00F23732" w:rsidRPr="00F23732" w:rsidRDefault="00F23732" w:rsidP="00F23732"/>
        </w:tc>
        <w:tc>
          <w:tcPr>
            <w:tcW w:w="0" w:type="auto"/>
            <w:vAlign w:val="center"/>
            <w:hideMark/>
          </w:tcPr>
          <w:p w14:paraId="485A966D" w14:textId="77777777" w:rsidR="00F23732" w:rsidRPr="00F23732" w:rsidRDefault="00F23732" w:rsidP="00F23732"/>
        </w:tc>
        <w:tc>
          <w:tcPr>
            <w:tcW w:w="0" w:type="auto"/>
            <w:vAlign w:val="center"/>
            <w:hideMark/>
          </w:tcPr>
          <w:p w14:paraId="5649B83A" w14:textId="77777777" w:rsidR="00F23732" w:rsidRPr="00F23732" w:rsidRDefault="00F23732" w:rsidP="00F23732"/>
        </w:tc>
      </w:tr>
      <w:tr w:rsidR="00F23732" w:rsidRPr="00F23732" w14:paraId="57BC1C45" w14:textId="77777777">
        <w:trPr>
          <w:tblCellSpacing w:w="15" w:type="dxa"/>
        </w:trPr>
        <w:tc>
          <w:tcPr>
            <w:tcW w:w="0" w:type="auto"/>
            <w:gridSpan w:val="2"/>
            <w:vAlign w:val="center"/>
            <w:hideMark/>
          </w:tcPr>
          <w:p w14:paraId="18E4FA12" w14:textId="77777777" w:rsidR="00F23732" w:rsidRPr="00F23732" w:rsidRDefault="00F23732" w:rsidP="00F23732">
            <w:r w:rsidRPr="00F23732">
              <w:t>1.</w:t>
            </w:r>
          </w:p>
        </w:tc>
        <w:tc>
          <w:tcPr>
            <w:tcW w:w="0" w:type="auto"/>
            <w:gridSpan w:val="9"/>
            <w:vAlign w:val="center"/>
            <w:hideMark/>
          </w:tcPr>
          <w:p w14:paraId="235A3BFD" w14:textId="77777777" w:rsidR="00F23732" w:rsidRPr="00F23732" w:rsidRDefault="00F23732" w:rsidP="00F23732">
            <w:r w:rsidRPr="00F23732">
              <w:t>Der Fang ist nur in der Zeit vom 15. September bis 30. November zulässig;</w:t>
            </w:r>
          </w:p>
        </w:tc>
      </w:tr>
      <w:tr w:rsidR="00F23732" w:rsidRPr="00F23732" w14:paraId="0B523C86" w14:textId="77777777">
        <w:trPr>
          <w:tblCellSpacing w:w="15" w:type="dxa"/>
        </w:trPr>
        <w:tc>
          <w:tcPr>
            <w:tcW w:w="0" w:type="auto"/>
            <w:gridSpan w:val="2"/>
            <w:vAlign w:val="center"/>
            <w:hideMark/>
          </w:tcPr>
          <w:p w14:paraId="66956838" w14:textId="77777777" w:rsidR="00F23732" w:rsidRPr="00F23732" w:rsidRDefault="00F23732" w:rsidP="00F23732">
            <w:r w:rsidRPr="00F23732">
              <w:t>2.</w:t>
            </w:r>
          </w:p>
        </w:tc>
        <w:tc>
          <w:tcPr>
            <w:tcW w:w="0" w:type="auto"/>
            <w:gridSpan w:val="9"/>
            <w:vAlign w:val="center"/>
            <w:hideMark/>
          </w:tcPr>
          <w:p w14:paraId="0CCC0E6E" w14:textId="77777777" w:rsidR="00F23732" w:rsidRPr="00F23732" w:rsidRDefault="00F23732" w:rsidP="00F23732">
            <w:r w:rsidRPr="00F23732">
              <w:t xml:space="preserve">von den genannten Vogelarten darf je Bewilligungsinhaber nur ein Exemplar pro Art gefangen werden, </w:t>
            </w:r>
            <w:proofErr w:type="spellStart"/>
            <w:r w:rsidRPr="00F23732">
              <w:t>soferne</w:t>
            </w:r>
            <w:proofErr w:type="spellEnd"/>
            <w:r w:rsidRPr="00F23732">
              <w:t xml:space="preserve"> nicht Z. 11 zur Anwendung kommt;</w:t>
            </w:r>
          </w:p>
        </w:tc>
      </w:tr>
      <w:tr w:rsidR="00F23732" w:rsidRPr="00F23732" w14:paraId="47DECECF" w14:textId="77777777">
        <w:trPr>
          <w:tblCellSpacing w:w="15" w:type="dxa"/>
        </w:trPr>
        <w:tc>
          <w:tcPr>
            <w:tcW w:w="0" w:type="auto"/>
            <w:gridSpan w:val="2"/>
            <w:vAlign w:val="center"/>
            <w:hideMark/>
          </w:tcPr>
          <w:p w14:paraId="6CE89ABF" w14:textId="77777777" w:rsidR="00F23732" w:rsidRPr="00F23732" w:rsidRDefault="00F23732" w:rsidP="00F23732">
            <w:r w:rsidRPr="00F23732">
              <w:t>3.</w:t>
            </w:r>
          </w:p>
        </w:tc>
        <w:tc>
          <w:tcPr>
            <w:tcW w:w="0" w:type="auto"/>
            <w:gridSpan w:val="9"/>
            <w:vAlign w:val="center"/>
            <w:hideMark/>
          </w:tcPr>
          <w:p w14:paraId="328588D3" w14:textId="77777777" w:rsidR="00F23732" w:rsidRPr="00F23732" w:rsidRDefault="00F23732" w:rsidP="00F23732">
            <w:r w:rsidRPr="00F23732">
              <w:t xml:space="preserve">die Höchstanzahl der </w:t>
            </w:r>
            <w:proofErr w:type="gramStart"/>
            <w:r w:rsidRPr="00F23732">
              <w:t>zu fangenden Vögel</w:t>
            </w:r>
            <w:proofErr w:type="gramEnd"/>
            <w:r w:rsidRPr="00F23732">
              <w:t xml:space="preserve"> ist mit 550 je Art und Fangsaison begrenzt; dies gilt nicht für den zulässigen Fang von Lockvögeln;</w:t>
            </w:r>
          </w:p>
        </w:tc>
      </w:tr>
      <w:tr w:rsidR="00F23732" w:rsidRPr="00F23732" w14:paraId="426A1E35" w14:textId="77777777">
        <w:trPr>
          <w:tblCellSpacing w:w="15" w:type="dxa"/>
        </w:trPr>
        <w:tc>
          <w:tcPr>
            <w:tcW w:w="0" w:type="auto"/>
            <w:gridSpan w:val="2"/>
            <w:vAlign w:val="center"/>
            <w:hideMark/>
          </w:tcPr>
          <w:p w14:paraId="49B0B1F7" w14:textId="77777777" w:rsidR="00F23732" w:rsidRPr="00F23732" w:rsidRDefault="00F23732" w:rsidP="00F23732">
            <w:r w:rsidRPr="00F23732">
              <w:t>4.</w:t>
            </w:r>
          </w:p>
        </w:tc>
        <w:tc>
          <w:tcPr>
            <w:tcW w:w="0" w:type="auto"/>
            <w:gridSpan w:val="9"/>
            <w:vAlign w:val="center"/>
            <w:hideMark/>
          </w:tcPr>
          <w:p w14:paraId="1AA8379C" w14:textId="77777777" w:rsidR="00F23732" w:rsidRPr="00F23732" w:rsidRDefault="00F23732" w:rsidP="00F23732">
            <w:r w:rsidRPr="00F23732">
              <w:t>der Fang ist nur zur Tageszeit (das ist die Zeit von einer Stunde vor Sonnenaufgang bis eine Stunde nach Sonnenuntergang) abseits von Tränken und Futterstellen und im Abstand von mehr als 300 m von Gebäuden, die überwiegend dem Wohnbedarf dienen, zulässig;</w:t>
            </w:r>
          </w:p>
        </w:tc>
      </w:tr>
      <w:tr w:rsidR="00F23732" w:rsidRPr="00F23732" w14:paraId="5952303F" w14:textId="77777777">
        <w:trPr>
          <w:tblCellSpacing w:w="15" w:type="dxa"/>
        </w:trPr>
        <w:tc>
          <w:tcPr>
            <w:tcW w:w="0" w:type="auto"/>
            <w:gridSpan w:val="2"/>
            <w:vAlign w:val="center"/>
            <w:hideMark/>
          </w:tcPr>
          <w:p w14:paraId="7C15BC7B" w14:textId="77777777" w:rsidR="00F23732" w:rsidRPr="00F23732" w:rsidRDefault="00F23732" w:rsidP="00F23732">
            <w:r w:rsidRPr="00F23732">
              <w:t>5.</w:t>
            </w:r>
          </w:p>
        </w:tc>
        <w:tc>
          <w:tcPr>
            <w:tcW w:w="0" w:type="auto"/>
            <w:gridSpan w:val="9"/>
            <w:vAlign w:val="center"/>
            <w:hideMark/>
          </w:tcPr>
          <w:p w14:paraId="68ECA3BB" w14:textId="77777777" w:rsidR="00F23732" w:rsidRPr="00F23732" w:rsidRDefault="00F23732" w:rsidP="00F23732">
            <w:r w:rsidRPr="00F23732">
              <w:t>der Vogelfänger hat bei dem gesamten Fangvorgang anwesend zu sein;</w:t>
            </w:r>
          </w:p>
        </w:tc>
      </w:tr>
      <w:tr w:rsidR="00F23732" w:rsidRPr="00F23732" w14:paraId="251EE269" w14:textId="77777777">
        <w:trPr>
          <w:tblCellSpacing w:w="15" w:type="dxa"/>
        </w:trPr>
        <w:tc>
          <w:tcPr>
            <w:tcW w:w="0" w:type="auto"/>
            <w:gridSpan w:val="2"/>
            <w:vAlign w:val="center"/>
            <w:hideMark/>
          </w:tcPr>
          <w:p w14:paraId="4111CFA2" w14:textId="77777777" w:rsidR="00F23732" w:rsidRPr="00F23732" w:rsidRDefault="00F23732" w:rsidP="00F23732">
            <w:r w:rsidRPr="00F23732">
              <w:t>6.</w:t>
            </w:r>
          </w:p>
        </w:tc>
        <w:tc>
          <w:tcPr>
            <w:tcW w:w="0" w:type="auto"/>
            <w:gridSpan w:val="9"/>
            <w:vAlign w:val="center"/>
            <w:hideMark/>
          </w:tcPr>
          <w:p w14:paraId="63573F29" w14:textId="77777777" w:rsidR="00F23732" w:rsidRPr="00F23732" w:rsidRDefault="00F23732" w:rsidP="00F23732">
            <w:r w:rsidRPr="00F23732">
              <w:t xml:space="preserve">der Fang ist nur mit Schlagnetzen im Ausmaß von höchstens 1 </w:t>
            </w:r>
            <w:proofErr w:type="gramStart"/>
            <w:r w:rsidRPr="00F23732">
              <w:t>m mal</w:t>
            </w:r>
            <w:proofErr w:type="gramEnd"/>
            <w:r w:rsidRPr="00F23732">
              <w:t xml:space="preserve"> 1 m oder mit Netzkloben zulässig;</w:t>
            </w:r>
          </w:p>
        </w:tc>
      </w:tr>
      <w:tr w:rsidR="00F23732" w:rsidRPr="00F23732" w14:paraId="2BC55619" w14:textId="77777777">
        <w:trPr>
          <w:tblCellSpacing w:w="15" w:type="dxa"/>
        </w:trPr>
        <w:tc>
          <w:tcPr>
            <w:tcW w:w="0" w:type="auto"/>
            <w:gridSpan w:val="2"/>
            <w:vAlign w:val="center"/>
            <w:hideMark/>
          </w:tcPr>
          <w:p w14:paraId="2CE099CE" w14:textId="77777777" w:rsidR="00F23732" w:rsidRPr="00F23732" w:rsidRDefault="00F23732" w:rsidP="00F23732">
            <w:r w:rsidRPr="00F23732">
              <w:t>7.</w:t>
            </w:r>
          </w:p>
        </w:tc>
        <w:tc>
          <w:tcPr>
            <w:tcW w:w="0" w:type="auto"/>
            <w:gridSpan w:val="9"/>
            <w:vAlign w:val="center"/>
            <w:hideMark/>
          </w:tcPr>
          <w:p w14:paraId="3F794E80" w14:textId="77777777" w:rsidR="00F23732" w:rsidRPr="00F23732" w:rsidRDefault="00F23732" w:rsidP="00F23732">
            <w:r w:rsidRPr="00F23732">
              <w:t>über Fangzeit, Ort, verwendetes Fangmittel und Fangerfolg ist ein Protokoll zu führen und der Behörde vorzulegen;</w:t>
            </w:r>
          </w:p>
        </w:tc>
      </w:tr>
      <w:tr w:rsidR="00F23732" w:rsidRPr="00F23732" w14:paraId="4DA694FF" w14:textId="77777777">
        <w:trPr>
          <w:tblCellSpacing w:w="15" w:type="dxa"/>
        </w:trPr>
        <w:tc>
          <w:tcPr>
            <w:tcW w:w="0" w:type="auto"/>
            <w:gridSpan w:val="2"/>
            <w:vAlign w:val="center"/>
            <w:hideMark/>
          </w:tcPr>
          <w:p w14:paraId="4C84CF81" w14:textId="77777777" w:rsidR="00F23732" w:rsidRPr="00F23732" w:rsidRDefault="00F23732" w:rsidP="00F23732">
            <w:r w:rsidRPr="00F23732">
              <w:t>8.</w:t>
            </w:r>
          </w:p>
        </w:tc>
        <w:tc>
          <w:tcPr>
            <w:tcW w:w="0" w:type="auto"/>
            <w:gridSpan w:val="9"/>
            <w:vAlign w:val="center"/>
            <w:hideMark/>
          </w:tcPr>
          <w:p w14:paraId="1E195A36" w14:textId="77777777" w:rsidR="00F23732" w:rsidRPr="00F23732" w:rsidRDefault="00F23732" w:rsidP="00F23732">
            <w:r w:rsidRPr="00F23732">
              <w:t>die gefangenen Vögel sind bis spätestens 10. April des dem Fang folgenden Jahres wieder in einen für sie arttypischen Lebensraum freizulassen, sofern sie nicht als Lockvögel zulässigerweise gehalten werden;</w:t>
            </w:r>
          </w:p>
        </w:tc>
      </w:tr>
      <w:tr w:rsidR="00F23732" w:rsidRPr="00F23732" w14:paraId="43085DC0" w14:textId="77777777">
        <w:trPr>
          <w:tblCellSpacing w:w="15" w:type="dxa"/>
        </w:trPr>
        <w:tc>
          <w:tcPr>
            <w:tcW w:w="0" w:type="auto"/>
            <w:gridSpan w:val="2"/>
            <w:vAlign w:val="center"/>
            <w:hideMark/>
          </w:tcPr>
          <w:p w14:paraId="0AAECA24" w14:textId="77777777" w:rsidR="00F23732" w:rsidRPr="00F23732" w:rsidRDefault="00F23732" w:rsidP="00F23732">
            <w:r w:rsidRPr="00F23732">
              <w:t>9.</w:t>
            </w:r>
          </w:p>
        </w:tc>
        <w:tc>
          <w:tcPr>
            <w:tcW w:w="0" w:type="auto"/>
            <w:gridSpan w:val="9"/>
            <w:vAlign w:val="center"/>
            <w:hideMark/>
          </w:tcPr>
          <w:p w14:paraId="6E8D6FD6" w14:textId="77777777" w:rsidR="00F23732" w:rsidRPr="00F23732" w:rsidRDefault="00F23732" w:rsidP="00F23732">
            <w:r w:rsidRPr="00F23732">
              <w:t xml:space="preserve">die Haltung der Vögel hat in arttypisch strukturierten Volieren mit einem Ausmaß von mindestens 2 m (Höhe) mal 2 </w:t>
            </w:r>
            <w:proofErr w:type="gramStart"/>
            <w:r w:rsidRPr="00F23732">
              <w:t>m mal</w:t>
            </w:r>
            <w:proofErr w:type="gramEnd"/>
            <w:r w:rsidRPr="00F23732">
              <w:t xml:space="preserve"> 1 m oder von mindestens 4 m³ bei einer Mindesthöhe von 1,5 m zu erfolgen;</w:t>
            </w:r>
          </w:p>
        </w:tc>
      </w:tr>
      <w:tr w:rsidR="00F23732" w:rsidRPr="00F23732" w14:paraId="71529AC0" w14:textId="77777777">
        <w:trPr>
          <w:tblCellSpacing w:w="15" w:type="dxa"/>
        </w:trPr>
        <w:tc>
          <w:tcPr>
            <w:tcW w:w="0" w:type="auto"/>
            <w:gridSpan w:val="2"/>
            <w:vAlign w:val="center"/>
            <w:hideMark/>
          </w:tcPr>
          <w:p w14:paraId="33017614" w14:textId="77777777" w:rsidR="00F23732" w:rsidRPr="00F23732" w:rsidRDefault="00F23732" w:rsidP="00F23732">
            <w:r w:rsidRPr="00F23732">
              <w:t>10.</w:t>
            </w:r>
          </w:p>
        </w:tc>
        <w:tc>
          <w:tcPr>
            <w:tcW w:w="0" w:type="auto"/>
            <w:gridSpan w:val="9"/>
            <w:vAlign w:val="center"/>
            <w:hideMark/>
          </w:tcPr>
          <w:p w14:paraId="5A1BA33F" w14:textId="77777777" w:rsidR="00F23732" w:rsidRPr="00F23732" w:rsidRDefault="00F23732" w:rsidP="00F23732">
            <w:r w:rsidRPr="00F23732">
              <w:t xml:space="preserve">die Haltung in Käfigen ist nur während der Zeit der Ausstellungen zulässig. Die Bestimmungen der Außerlandwirtschaftlichen Tierhaltungs-Verordnung, </w:t>
            </w:r>
            <w:hyperlink r:id="rId5" w:tgtFrame="_blank" w:history="1">
              <w:r w:rsidRPr="00F23732">
                <w:rPr>
                  <w:rStyle w:val="Hyperlink"/>
                </w:rPr>
                <w:t>LGBl. Nr. 94/2002</w:t>
              </w:r>
            </w:hyperlink>
            <w:r w:rsidRPr="00F23732">
              <w:t>, gelten sinngemäß;</w:t>
            </w:r>
          </w:p>
        </w:tc>
      </w:tr>
      <w:tr w:rsidR="00F23732" w:rsidRPr="00F23732" w14:paraId="7401B7F4" w14:textId="77777777">
        <w:trPr>
          <w:tblCellSpacing w:w="15" w:type="dxa"/>
        </w:trPr>
        <w:tc>
          <w:tcPr>
            <w:tcW w:w="0" w:type="auto"/>
            <w:gridSpan w:val="2"/>
            <w:vAlign w:val="center"/>
            <w:hideMark/>
          </w:tcPr>
          <w:p w14:paraId="0907A30D" w14:textId="77777777" w:rsidR="00F23732" w:rsidRPr="00F23732" w:rsidRDefault="00F23732" w:rsidP="00F23732">
            <w:r w:rsidRPr="00F23732">
              <w:t>11.</w:t>
            </w:r>
          </w:p>
        </w:tc>
        <w:tc>
          <w:tcPr>
            <w:tcW w:w="0" w:type="auto"/>
            <w:gridSpan w:val="9"/>
            <w:vAlign w:val="center"/>
            <w:hideMark/>
          </w:tcPr>
          <w:p w14:paraId="0506E166" w14:textId="77777777" w:rsidR="00F23732" w:rsidRPr="00F23732" w:rsidRDefault="00F23732" w:rsidP="00F23732">
            <w:r w:rsidRPr="00F23732">
              <w:t>die zum rechtmäßigen Fang der genannten Vogelarten notwendigen Lockvögel dürfen nur in einer Menge von zwei Individuen pro Art bzw. Gesangsvariation beim Fichtenkreuzschnabel gefangen und gehalten werden;</w:t>
            </w:r>
          </w:p>
        </w:tc>
      </w:tr>
      <w:tr w:rsidR="00F23732" w:rsidRPr="00F23732" w14:paraId="790066DE" w14:textId="77777777">
        <w:trPr>
          <w:tblCellSpacing w:w="15" w:type="dxa"/>
        </w:trPr>
        <w:tc>
          <w:tcPr>
            <w:tcW w:w="0" w:type="auto"/>
            <w:gridSpan w:val="2"/>
            <w:vAlign w:val="center"/>
            <w:hideMark/>
          </w:tcPr>
          <w:p w14:paraId="00FB0ACC" w14:textId="77777777" w:rsidR="00F23732" w:rsidRPr="00F23732" w:rsidRDefault="00F23732" w:rsidP="00F23732">
            <w:r w:rsidRPr="00F23732">
              <w:t>12.</w:t>
            </w:r>
          </w:p>
        </w:tc>
        <w:tc>
          <w:tcPr>
            <w:tcW w:w="0" w:type="auto"/>
            <w:gridSpan w:val="9"/>
            <w:vAlign w:val="center"/>
            <w:hideMark/>
          </w:tcPr>
          <w:p w14:paraId="39D9F107" w14:textId="77777777" w:rsidR="00F23732" w:rsidRPr="00F23732" w:rsidRDefault="00F23732" w:rsidP="00F23732">
            <w:r w:rsidRPr="00F23732">
              <w:t>über Zu- und Abgänge der Lockvögel ist ein Protokoll zu führen;</w:t>
            </w:r>
          </w:p>
        </w:tc>
      </w:tr>
      <w:tr w:rsidR="00F23732" w:rsidRPr="00F23732" w14:paraId="006703EE" w14:textId="77777777">
        <w:trPr>
          <w:tblCellSpacing w:w="15" w:type="dxa"/>
        </w:trPr>
        <w:tc>
          <w:tcPr>
            <w:tcW w:w="0" w:type="auto"/>
            <w:gridSpan w:val="2"/>
            <w:vAlign w:val="center"/>
            <w:hideMark/>
          </w:tcPr>
          <w:p w14:paraId="1F774956" w14:textId="77777777" w:rsidR="00F23732" w:rsidRPr="00F23732" w:rsidRDefault="00F23732" w:rsidP="00F23732">
            <w:r w:rsidRPr="00F23732">
              <w:t>13.</w:t>
            </w:r>
          </w:p>
        </w:tc>
        <w:tc>
          <w:tcPr>
            <w:tcW w:w="0" w:type="auto"/>
            <w:gridSpan w:val="9"/>
            <w:vAlign w:val="center"/>
            <w:hideMark/>
          </w:tcPr>
          <w:p w14:paraId="3E45374B" w14:textId="77777777" w:rsidR="00F23732" w:rsidRPr="00F23732" w:rsidRDefault="00F23732" w:rsidP="00F23732">
            <w:r w:rsidRPr="00F23732">
              <w:t>die Fangbewilligung darf nur für jeweils eine Fangsaison erteilt werden.</w:t>
            </w:r>
          </w:p>
        </w:tc>
      </w:tr>
    </w:tbl>
    <w:p w14:paraId="244DA3F6"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32"/>
    <w:rsid w:val="002E45A7"/>
    <w:rsid w:val="00A722C3"/>
    <w:rsid w:val="00E67978"/>
    <w:rsid w:val="00F237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D63"/>
  <w15:chartTrackingRefBased/>
  <w15:docId w15:val="{AE2D3C54-27F2-4D73-A7BA-05DFECBE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37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37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373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373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373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2373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373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373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373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373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373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373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2373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373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2373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373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2373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37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37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373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2373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23732"/>
    <w:rPr>
      <w:i/>
      <w:iCs/>
      <w:color w:val="404040" w:themeColor="text1" w:themeTint="BF"/>
    </w:rPr>
  </w:style>
  <w:style w:type="paragraph" w:styleId="Listenabsatz">
    <w:name w:val="List Paragraph"/>
    <w:basedOn w:val="Standard"/>
    <w:uiPriority w:val="34"/>
    <w:qFormat/>
    <w:rsid w:val="00F23732"/>
    <w:pPr>
      <w:ind w:left="720"/>
      <w:contextualSpacing/>
    </w:pPr>
  </w:style>
  <w:style w:type="character" w:styleId="IntensiveHervorhebung">
    <w:name w:val="Intense Emphasis"/>
    <w:basedOn w:val="Absatz-Standardschriftart"/>
    <w:uiPriority w:val="21"/>
    <w:qFormat/>
    <w:rsid w:val="00F23732"/>
    <w:rPr>
      <w:i/>
      <w:iCs/>
      <w:color w:val="0F4761" w:themeColor="accent1" w:themeShade="BF"/>
    </w:rPr>
  </w:style>
  <w:style w:type="paragraph" w:styleId="IntensivesZitat">
    <w:name w:val="Intense Quote"/>
    <w:basedOn w:val="Standard"/>
    <w:next w:val="Standard"/>
    <w:link w:val="IntensivesZitatZchn"/>
    <w:uiPriority w:val="30"/>
    <w:qFormat/>
    <w:rsid w:val="00F2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3732"/>
    <w:rPr>
      <w:i/>
      <w:iCs/>
      <w:color w:val="0F4761" w:themeColor="accent1" w:themeShade="BF"/>
    </w:rPr>
  </w:style>
  <w:style w:type="character" w:styleId="IntensiverVerweis">
    <w:name w:val="Intense Reference"/>
    <w:basedOn w:val="Absatz-Standardschriftart"/>
    <w:uiPriority w:val="32"/>
    <w:qFormat/>
    <w:rsid w:val="00F23732"/>
    <w:rPr>
      <w:b/>
      <w:bCs/>
      <w:smallCaps/>
      <w:color w:val="0F4761" w:themeColor="accent1" w:themeShade="BF"/>
      <w:spacing w:val="5"/>
    </w:rPr>
  </w:style>
  <w:style w:type="character" w:styleId="Hyperlink">
    <w:name w:val="Hyperlink"/>
    <w:basedOn w:val="Absatz-Standardschriftart"/>
    <w:uiPriority w:val="99"/>
    <w:unhideWhenUsed/>
    <w:rsid w:val="00F23732"/>
    <w:rPr>
      <w:color w:val="467886" w:themeColor="hyperlink"/>
      <w:u w:val="single"/>
    </w:rPr>
  </w:style>
  <w:style w:type="character" w:styleId="NichtaufgelsteErwhnung">
    <w:name w:val="Unresolved Mention"/>
    <w:basedOn w:val="Absatz-Standardschriftart"/>
    <w:uiPriority w:val="99"/>
    <w:semiHidden/>
    <w:unhideWhenUsed/>
    <w:rsid w:val="00F2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is.bka.gv.at/Ergebnis.wxe?Abfrage=Lgbl&amp;Lgblnummer=94/2002&amp;Bundesland=Ober%C3%B6sterreich&amp;BundeslandDefault=Ober%C3%B6sterreich&amp;FassungVom=&amp;SkipToDocumentPage=True" TargetMode="External"/><Relationship Id="rId10" Type="http://schemas.openxmlformats.org/officeDocument/2006/relationships/customXml" Target="../customXml/item3.xml"/><Relationship Id="rId4" Type="http://schemas.openxmlformats.org/officeDocument/2006/relationships/hyperlink" Target="https://www.jusline.at/gesetz/ooe_asg/paragraf/11" TargetMode="Externa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05CC7B8A-94AF-4A18-BE3A-B133F836D294}"/>
</file>

<file path=customXml/itemProps2.xml><?xml version="1.0" encoding="utf-8"?>
<ds:datastoreItem xmlns:ds="http://schemas.openxmlformats.org/officeDocument/2006/customXml" ds:itemID="{22B77453-E43F-4557-92C4-954ED8B6CCBB}"/>
</file>

<file path=customXml/itemProps3.xml><?xml version="1.0" encoding="utf-8"?>
<ds:datastoreItem xmlns:ds="http://schemas.openxmlformats.org/officeDocument/2006/customXml" ds:itemID="{33D3C9CB-E8AD-4BD7-9782-7E13F0227F38}"/>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2696</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2026-06-09T06:32:00Z</dcterms:created>
  <dcterms:modified xsi:type="dcterms:W3CDTF">2026-06-09T06:40:00Z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